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339"/>
        <w:gridCol w:w="2079"/>
        <w:gridCol w:w="360"/>
        <w:gridCol w:w="900"/>
        <w:gridCol w:w="4320"/>
      </w:tblGrid>
      <w:tr w:rsidR="00A65EE6" w:rsidRPr="002201A9" w14:paraId="4F0A6846" w14:textId="77777777" w:rsidTr="00031E04">
        <w:tc>
          <w:tcPr>
            <w:tcW w:w="3339" w:type="dxa"/>
            <w:shd w:val="clear" w:color="auto" w:fill="C0504D" w:themeFill="accent2"/>
          </w:tcPr>
          <w:p w14:paraId="098B219C" w14:textId="77777777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Grade 2</w:t>
            </w:r>
          </w:p>
        </w:tc>
        <w:tc>
          <w:tcPr>
            <w:tcW w:w="3339" w:type="dxa"/>
            <w:gridSpan w:val="3"/>
            <w:shd w:val="clear" w:color="auto" w:fill="C0504D" w:themeFill="accent2"/>
          </w:tcPr>
          <w:p w14:paraId="28E797A6" w14:textId="4B7F8ADE" w:rsidR="00A65EE6" w:rsidRPr="002201A9" w:rsidRDefault="00A65EE6" w:rsidP="002201A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Lesson: 3-4</w:t>
            </w:r>
          </w:p>
        </w:tc>
        <w:tc>
          <w:tcPr>
            <w:tcW w:w="4320" w:type="dxa"/>
            <w:shd w:val="clear" w:color="auto" w:fill="C0504D" w:themeFill="accent2"/>
          </w:tcPr>
          <w:p w14:paraId="57B17CB7" w14:textId="77777777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  <w:r w:rsidRPr="002201A9">
              <w:rPr>
                <w:rFonts w:asciiTheme="majorHAnsi" w:hAnsiTheme="majorHAnsi"/>
                <w:sz w:val="20"/>
                <w:szCs w:val="20"/>
              </w:rPr>
              <w:t>Reference to English</w:t>
            </w:r>
          </w:p>
        </w:tc>
      </w:tr>
      <w:tr w:rsidR="00A65EE6" w:rsidRPr="002201A9" w14:paraId="3F7AEB39" w14:textId="77777777" w:rsidTr="00A65EE6">
        <w:tc>
          <w:tcPr>
            <w:tcW w:w="10998" w:type="dxa"/>
            <w:gridSpan w:val="5"/>
            <w:tcBorders>
              <w:bottom w:val="single" w:sz="4" w:space="0" w:color="auto"/>
            </w:tcBorders>
          </w:tcPr>
          <w:p w14:paraId="5D4F1F91" w14:textId="77777777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Math Standard(s)</w:t>
            </w:r>
            <w:proofErr w:type="gramStart"/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:      2.OA.1</w:t>
            </w:r>
            <w:proofErr w:type="gramEnd"/>
            <w:r w:rsidRPr="002201A9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Domain: Operations and Algebraic Thinking</w:t>
            </w:r>
          </w:p>
        </w:tc>
      </w:tr>
      <w:tr w:rsidR="00A65EE6" w:rsidRPr="002201A9" w14:paraId="4124F682" w14:textId="77777777" w:rsidTr="00031E04">
        <w:tc>
          <w:tcPr>
            <w:tcW w:w="5418" w:type="dxa"/>
            <w:gridSpan w:val="2"/>
            <w:shd w:val="clear" w:color="auto" w:fill="C0504D" w:themeFill="accent2"/>
          </w:tcPr>
          <w:p w14:paraId="699EB29C" w14:textId="77777777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Content Objective(s):</w:t>
            </w:r>
          </w:p>
        </w:tc>
        <w:tc>
          <w:tcPr>
            <w:tcW w:w="5580" w:type="dxa"/>
            <w:gridSpan w:val="3"/>
            <w:shd w:val="clear" w:color="auto" w:fill="C0504D" w:themeFill="accent2"/>
          </w:tcPr>
          <w:p w14:paraId="083700C3" w14:textId="77777777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Language Objective(s):</w:t>
            </w:r>
          </w:p>
        </w:tc>
      </w:tr>
      <w:tr w:rsidR="00A65EE6" w:rsidRPr="002201A9" w14:paraId="3D8B0150" w14:textId="77777777" w:rsidTr="00A65EE6">
        <w:tc>
          <w:tcPr>
            <w:tcW w:w="5418" w:type="dxa"/>
            <w:gridSpan w:val="2"/>
          </w:tcPr>
          <w:p w14:paraId="42119F82" w14:textId="77777777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  <w:r w:rsidRPr="002201A9">
              <w:rPr>
                <w:rFonts w:asciiTheme="majorHAnsi" w:hAnsiTheme="majorHAnsi"/>
                <w:sz w:val="20"/>
                <w:szCs w:val="20"/>
              </w:rPr>
              <w:t>Students will find differences by using related addition facts to 18.</w:t>
            </w:r>
          </w:p>
          <w:p w14:paraId="3921269A" w14:textId="77777777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  <w:r w:rsidRPr="002201A9">
              <w:rPr>
                <w:rFonts w:asciiTheme="majorHAnsi" w:hAnsiTheme="majorHAnsi"/>
                <w:i/>
                <w:sz w:val="20"/>
                <w:szCs w:val="20"/>
              </w:rPr>
              <w:t>I can find differences by using related addition facts to 18.</w:t>
            </w:r>
          </w:p>
        </w:tc>
        <w:tc>
          <w:tcPr>
            <w:tcW w:w="5580" w:type="dxa"/>
            <w:gridSpan w:val="3"/>
          </w:tcPr>
          <w:p w14:paraId="47D2BCC2" w14:textId="3ABE5AA5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  <w:r w:rsidRPr="002201A9">
              <w:rPr>
                <w:rFonts w:asciiTheme="majorHAnsi" w:hAnsiTheme="majorHAnsi"/>
                <w:sz w:val="20"/>
                <w:szCs w:val="20"/>
              </w:rPr>
              <w:t>Students will use the phrase “I know that</w:t>
            </w:r>
            <w:r w:rsidR="0023442C" w:rsidRPr="002201A9">
              <w:rPr>
                <w:rFonts w:asciiTheme="majorHAnsi" w:hAnsiTheme="majorHAnsi"/>
                <w:sz w:val="20"/>
                <w:szCs w:val="20"/>
              </w:rPr>
              <w:t>________</w:t>
            </w:r>
            <w:r w:rsidRPr="002201A9">
              <w:rPr>
                <w:rFonts w:asciiTheme="majorHAnsi" w:hAnsiTheme="majorHAnsi"/>
                <w:sz w:val="20"/>
                <w:szCs w:val="20"/>
              </w:rPr>
              <w:t xml:space="preserve">, so </w:t>
            </w:r>
            <w:r w:rsidR="0023442C" w:rsidRPr="002201A9">
              <w:rPr>
                <w:rFonts w:asciiTheme="majorHAnsi" w:hAnsiTheme="majorHAnsi"/>
                <w:sz w:val="20"/>
                <w:szCs w:val="20"/>
              </w:rPr>
              <w:t>_____”</w:t>
            </w:r>
          </w:p>
          <w:p w14:paraId="7077C344" w14:textId="2C6570C4" w:rsidR="00A65EE6" w:rsidRPr="002201A9" w:rsidRDefault="00A65EE6" w:rsidP="00A65EE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201A9">
              <w:rPr>
                <w:rFonts w:asciiTheme="majorHAnsi" w:hAnsiTheme="majorHAnsi"/>
                <w:i/>
                <w:sz w:val="20"/>
                <w:szCs w:val="20"/>
              </w:rPr>
              <w:t xml:space="preserve">I can use the phrase </w:t>
            </w:r>
            <w:r w:rsidR="0023442C" w:rsidRPr="002201A9">
              <w:rPr>
                <w:rFonts w:asciiTheme="majorHAnsi" w:hAnsiTheme="majorHAnsi"/>
                <w:i/>
                <w:sz w:val="20"/>
                <w:szCs w:val="20"/>
              </w:rPr>
              <w:t>“I know that________, so _____”</w:t>
            </w:r>
          </w:p>
        </w:tc>
      </w:tr>
      <w:tr w:rsidR="00A65EE6" w:rsidRPr="002201A9" w14:paraId="66E22652" w14:textId="77777777" w:rsidTr="00A65EE6">
        <w:tc>
          <w:tcPr>
            <w:tcW w:w="5418" w:type="dxa"/>
            <w:gridSpan w:val="2"/>
          </w:tcPr>
          <w:p w14:paraId="18BE2C69" w14:textId="77777777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Essential Understanding:</w:t>
            </w:r>
          </w:p>
          <w:p w14:paraId="52BA8386" w14:textId="77777777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  <w:r w:rsidRPr="002201A9">
              <w:rPr>
                <w:rFonts w:asciiTheme="majorHAnsi" w:hAnsiTheme="majorHAnsi"/>
                <w:sz w:val="20"/>
                <w:szCs w:val="20"/>
              </w:rPr>
              <w:t>Addition and subtraction have an inverse relationship.  This can be used to find subtraction facts; every subtraction fact has a related addition fact</w:t>
            </w:r>
          </w:p>
          <w:p w14:paraId="58547B2D" w14:textId="77777777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80" w:type="dxa"/>
            <w:gridSpan w:val="3"/>
          </w:tcPr>
          <w:p w14:paraId="3C0662D6" w14:textId="76FF4834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Academic Vocabulary</w:t>
            </w:r>
            <w:r w:rsidR="002201A9">
              <w:rPr>
                <w:rFonts w:asciiTheme="majorHAnsi" w:hAnsiTheme="majorHAnsi"/>
                <w:b/>
                <w:sz w:val="20"/>
                <w:szCs w:val="20"/>
              </w:rPr>
              <w:t xml:space="preserve"> for Word Wall</w:t>
            </w: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5C0A7E63" w14:textId="6EDEF225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 xml:space="preserve">Listen:  </w:t>
            </w:r>
            <w:r w:rsidR="00530CE8" w:rsidRPr="002201A9">
              <w:rPr>
                <w:rFonts w:asciiTheme="majorHAnsi" w:hAnsiTheme="majorHAnsi"/>
                <w:b/>
                <w:sz w:val="20"/>
                <w:szCs w:val="20"/>
              </w:rPr>
              <w:t xml:space="preserve"> matching</w:t>
            </w:r>
            <w:r w:rsidR="00CF123D" w:rsidRPr="002201A9">
              <w:rPr>
                <w:rFonts w:asciiTheme="majorHAnsi" w:hAnsiTheme="majorHAnsi"/>
                <w:b/>
                <w:sz w:val="20"/>
                <w:szCs w:val="20"/>
              </w:rPr>
              <w:t>, if, then</w:t>
            </w:r>
          </w:p>
          <w:p w14:paraId="199F8338" w14:textId="77777777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Read: so</w:t>
            </w:r>
          </w:p>
          <w:p w14:paraId="1779BA5C" w14:textId="77777777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Write:</w:t>
            </w:r>
          </w:p>
          <w:p w14:paraId="33EF2C0C" w14:textId="0B083581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 xml:space="preserve">Speak:  </w:t>
            </w:r>
            <w:r w:rsidR="0023442C" w:rsidRPr="002201A9">
              <w:rPr>
                <w:rFonts w:asciiTheme="majorHAnsi" w:hAnsiTheme="majorHAnsi"/>
                <w:b/>
                <w:sz w:val="20"/>
                <w:szCs w:val="20"/>
              </w:rPr>
              <w:t>matching, so</w:t>
            </w:r>
            <w:proofErr w:type="gramStart"/>
            <w:r w:rsidR="0023442C" w:rsidRPr="002201A9">
              <w:rPr>
                <w:rFonts w:asciiTheme="majorHAnsi" w:hAnsiTheme="majorHAnsi"/>
                <w:b/>
                <w:sz w:val="20"/>
                <w:szCs w:val="20"/>
              </w:rPr>
              <w:t>,  if</w:t>
            </w:r>
            <w:proofErr w:type="gramEnd"/>
            <w:r w:rsidR="0023442C" w:rsidRPr="002201A9">
              <w:rPr>
                <w:rFonts w:asciiTheme="majorHAnsi" w:hAnsiTheme="majorHAnsi"/>
                <w:b/>
                <w:sz w:val="20"/>
                <w:szCs w:val="20"/>
              </w:rPr>
              <w:t>, then</w:t>
            </w:r>
          </w:p>
          <w:p w14:paraId="79798CEA" w14:textId="77777777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 xml:space="preserve">Sentence Frame: </w:t>
            </w:r>
          </w:p>
          <w:p w14:paraId="3004151F" w14:textId="77777777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B04C1" w14:textId="77777777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  <w:r w:rsidRPr="002201A9">
              <w:rPr>
                <w:rFonts w:asciiTheme="majorHAnsi" w:hAnsiTheme="majorHAnsi"/>
                <w:sz w:val="20"/>
                <w:szCs w:val="20"/>
              </w:rPr>
              <w:t>If_____ then______</w:t>
            </w:r>
          </w:p>
        </w:tc>
      </w:tr>
      <w:tr w:rsidR="00A65EE6" w:rsidRPr="002201A9" w14:paraId="04612DDD" w14:textId="77777777" w:rsidTr="00A65EE6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14:paraId="4738D219" w14:textId="5611A050" w:rsidR="00A65EE6" w:rsidRPr="002201A9" w:rsidRDefault="00A65EE6" w:rsidP="002201A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Materials:</w:t>
            </w:r>
          </w:p>
          <w:p w14:paraId="69E0E83D" w14:textId="77777777" w:rsidR="00A65EE6" w:rsidRPr="002201A9" w:rsidRDefault="00A65EE6" w:rsidP="00A65E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 xml:space="preserve">Subtraction Fact cards </w:t>
            </w:r>
          </w:p>
          <w:p w14:paraId="743A6039" w14:textId="77777777" w:rsidR="00A65EE6" w:rsidRPr="002201A9" w:rsidRDefault="00A65EE6" w:rsidP="00A65E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 xml:space="preserve">Two color counters </w:t>
            </w:r>
            <w:proofErr w:type="gramStart"/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( Teaching</w:t>
            </w:r>
            <w:proofErr w:type="gramEnd"/>
            <w:r w:rsidRPr="002201A9">
              <w:rPr>
                <w:rFonts w:asciiTheme="majorHAnsi" w:hAnsiTheme="majorHAnsi"/>
                <w:b/>
                <w:sz w:val="20"/>
                <w:szCs w:val="20"/>
              </w:rPr>
              <w:t xml:space="preserve"> tool 10)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14:paraId="7E8A5267" w14:textId="316DB04B" w:rsidR="00A65EE6" w:rsidRPr="002201A9" w:rsidRDefault="002201A9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Additional Lesson Vocabulary</w:t>
            </w:r>
            <w:r w:rsidR="00A65EE6" w:rsidRPr="002201A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565640A4" w14:textId="7D3FF6E6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  <w:r w:rsidRPr="002201A9">
              <w:rPr>
                <w:rFonts w:asciiTheme="majorHAnsi" w:hAnsiTheme="majorHAnsi"/>
                <w:sz w:val="20"/>
                <w:szCs w:val="20"/>
              </w:rPr>
              <w:t xml:space="preserve">I know </w:t>
            </w:r>
          </w:p>
          <w:p w14:paraId="060EE483" w14:textId="19EFCD98" w:rsidR="00A65EE6" w:rsidRPr="002201A9" w:rsidRDefault="00A65EE6" w:rsidP="00A65EE6">
            <w:pPr>
              <w:rPr>
                <w:rFonts w:asciiTheme="majorHAnsi" w:hAnsiTheme="majorHAnsi"/>
                <w:sz w:val="20"/>
                <w:szCs w:val="20"/>
              </w:rPr>
            </w:pPr>
            <w:r w:rsidRPr="002201A9">
              <w:rPr>
                <w:rFonts w:asciiTheme="majorHAnsi" w:hAnsiTheme="majorHAnsi"/>
                <w:sz w:val="20"/>
                <w:szCs w:val="20"/>
              </w:rPr>
              <w:t>If_____ then______</w:t>
            </w:r>
          </w:p>
        </w:tc>
      </w:tr>
      <w:tr w:rsidR="00A65EE6" w:rsidRPr="002201A9" w14:paraId="4C3F5DE9" w14:textId="77777777" w:rsidTr="00031E04">
        <w:tc>
          <w:tcPr>
            <w:tcW w:w="5778" w:type="dxa"/>
            <w:gridSpan w:val="3"/>
            <w:shd w:val="clear" w:color="auto" w:fill="C0504D" w:themeFill="accent2"/>
          </w:tcPr>
          <w:p w14:paraId="1F293A93" w14:textId="77777777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Lesson: Thinking Addition to 18 to Subtract</w:t>
            </w:r>
          </w:p>
        </w:tc>
        <w:tc>
          <w:tcPr>
            <w:tcW w:w="5220" w:type="dxa"/>
            <w:gridSpan w:val="2"/>
            <w:shd w:val="clear" w:color="auto" w:fill="C0504D" w:themeFill="accent2"/>
          </w:tcPr>
          <w:p w14:paraId="0BB8D13A" w14:textId="77777777" w:rsidR="00A65EE6" w:rsidRPr="002201A9" w:rsidRDefault="00530CE8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t>Instructional Time: 35</w:t>
            </w:r>
            <w:r w:rsidR="00A65EE6" w:rsidRPr="002201A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A65EE6" w:rsidRPr="002201A9">
              <w:rPr>
                <w:rFonts w:asciiTheme="majorHAnsi" w:hAnsiTheme="majorHAnsi"/>
                <w:b/>
                <w:sz w:val="20"/>
                <w:szCs w:val="20"/>
              </w:rPr>
              <w:t>mins</w:t>
            </w:r>
            <w:proofErr w:type="spellEnd"/>
          </w:p>
        </w:tc>
      </w:tr>
      <w:tr w:rsidR="00A65EE6" w:rsidRPr="002201A9" w14:paraId="2EF7075C" w14:textId="77777777" w:rsidTr="00A65EE6">
        <w:tc>
          <w:tcPr>
            <w:tcW w:w="10998" w:type="dxa"/>
            <w:gridSpan w:val="5"/>
            <w:tcBorders>
              <w:bottom w:val="single" w:sz="4" w:space="0" w:color="auto"/>
            </w:tcBorders>
          </w:tcPr>
          <w:p w14:paraId="671E3D39" w14:textId="1FAEF366" w:rsidR="00970936" w:rsidRPr="002201A9" w:rsidRDefault="00970936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This lesson is an extension of the previous lesson. </w:t>
            </w:r>
          </w:p>
          <w:p w14:paraId="36028432" w14:textId="72D0A611" w:rsidR="00A65EE6" w:rsidRPr="002201A9" w:rsidRDefault="002201A9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Opening: (</w:t>
            </w:r>
            <w:r w:rsidR="00A65EE6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5 minutes) – </w:t>
            </w:r>
          </w:p>
          <w:p w14:paraId="19962FC2" w14:textId="77777777" w:rsidR="00A65EE6" w:rsidRPr="002201A9" w:rsidRDefault="00A65EE6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Write these number sentences on the board: 10-___=7 and 7+___=10</w:t>
            </w:r>
          </w:p>
          <w:p w14:paraId="31B2E4CB" w14:textId="77777777" w:rsidR="00A65EE6" w:rsidRPr="002201A9" w:rsidRDefault="00A65EE6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T: “The same number needs to go in the blank spaces to make correct number</w:t>
            </w:r>
            <w:r w:rsidR="003B6695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sentences. What number goes in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the blanks and how do you know?</w:t>
            </w:r>
            <w:r w:rsidR="003B6695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Turn and talk about it with your partner.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”</w:t>
            </w:r>
          </w:p>
          <w:p w14:paraId="370005E1" w14:textId="77777777" w:rsidR="003B6695" w:rsidRPr="002201A9" w:rsidRDefault="003B6695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S: Will discuss with partners</w:t>
            </w:r>
          </w:p>
          <w:p w14:paraId="16EE632E" w14:textId="77777777" w:rsidR="003B6695" w:rsidRPr="002201A9" w:rsidRDefault="003B6695" w:rsidP="002201A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Choose a few students to share with the class what they talked about with their partners. Write in 3 in the spaces.</w:t>
            </w:r>
          </w:p>
          <w:p w14:paraId="525F9867" w14:textId="77777777" w:rsidR="00A65EE6" w:rsidRPr="002201A9" w:rsidRDefault="00A65EE6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8668634" w14:textId="77777777" w:rsidR="00A65EE6" w:rsidRPr="002201A9" w:rsidRDefault="00A65EE6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Introduction to New Material (Direct Instr</w:t>
            </w:r>
            <w:r w:rsidR="00530CE8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uction): </w:t>
            </w:r>
            <w:proofErr w:type="gramStart"/>
            <w:r w:rsidR="00530CE8" w:rsidRPr="002201A9">
              <w:rPr>
                <w:rFonts w:asciiTheme="majorHAnsi" w:hAnsiTheme="majorHAnsi" w:cs="Arial"/>
                <w:b/>
                <w:sz w:val="20"/>
                <w:szCs w:val="20"/>
              </w:rPr>
              <w:t>( 3</w:t>
            </w:r>
            <w:proofErr w:type="gramEnd"/>
            <w:r w:rsidR="00530CE8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minutes)</w:t>
            </w:r>
          </w:p>
          <w:p w14:paraId="50374A1D" w14:textId="77777777" w:rsidR="00A65EE6" w:rsidRPr="002201A9" w:rsidRDefault="003B6695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Each child should have 18</w:t>
            </w:r>
            <w:r w:rsidR="00A65EE6" w:rsidRPr="002201A9">
              <w:rPr>
                <w:rFonts w:asciiTheme="majorHAnsi" w:hAnsiTheme="majorHAnsi" w:cs="Arial"/>
                <w:sz w:val="20"/>
                <w:szCs w:val="20"/>
              </w:rPr>
              <w:t xml:space="preserve"> counters</w:t>
            </w:r>
          </w:p>
          <w:p w14:paraId="7423107A" w14:textId="77777777" w:rsidR="00A65EE6" w:rsidRPr="002201A9" w:rsidRDefault="003B6695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T: Today we’re going to keep practicing what we learned yesterday, but today we’ll</w:t>
            </w:r>
            <w:r w:rsidR="00530CE8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be working with larger numbers. Use your counters to show me 12, in tow parts, 3 and 9.</w:t>
            </w:r>
          </w:p>
          <w:p w14:paraId="003BFF47" w14:textId="77777777" w:rsidR="00530CE8" w:rsidRPr="002201A9" w:rsidRDefault="00530CE8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S: will place counters</w:t>
            </w:r>
          </w:p>
          <w:p w14:paraId="18BCEA16" w14:textId="77777777" w:rsidR="00530CE8" w:rsidRPr="002201A9" w:rsidRDefault="00530CE8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T: “ I know that 3+9= 12, so, 12-9= ___? Look at your counters for the answer.”</w:t>
            </w:r>
          </w:p>
          <w:p w14:paraId="226D16AD" w14:textId="77777777" w:rsidR="00530CE8" w:rsidRPr="002201A9" w:rsidRDefault="00530CE8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S: will look at counters. 3!</w:t>
            </w:r>
          </w:p>
          <w:p w14:paraId="4E0BB409" w14:textId="77777777" w:rsidR="00530CE8" w:rsidRPr="002201A9" w:rsidRDefault="00530CE8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Write in three.</w:t>
            </w:r>
          </w:p>
          <w:p w14:paraId="32068A5F" w14:textId="77777777" w:rsidR="003B6695" w:rsidRPr="002201A9" w:rsidRDefault="003B6695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9B28C73" w14:textId="20802FDA" w:rsidR="00A65EE6" w:rsidRPr="002201A9" w:rsidRDefault="00A65EE6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Guided </w:t>
            </w:r>
            <w:r w:rsidR="002201A9">
              <w:rPr>
                <w:rFonts w:asciiTheme="majorHAnsi" w:hAnsiTheme="majorHAnsi" w:cs="Arial"/>
                <w:b/>
                <w:sz w:val="20"/>
                <w:szCs w:val="20"/>
              </w:rPr>
              <w:t>Practice: (</w:t>
            </w:r>
            <w:r w:rsidR="00AF03CA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5 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minutes)</w:t>
            </w:r>
          </w:p>
          <w:p w14:paraId="21C2CCAE" w14:textId="77777777" w:rsidR="00A65EE6" w:rsidRPr="002201A9" w:rsidRDefault="00A65EE6" w:rsidP="00A65EE6">
            <w:pPr>
              <w:contextualSpacing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  <w:r w:rsidRPr="002201A9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Use the modeling cycle:</w:t>
            </w:r>
          </w:p>
          <w:p w14:paraId="4932EBD4" w14:textId="77777777" w:rsidR="00A65EE6" w:rsidRPr="002201A9" w:rsidRDefault="00A65EE6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Teacher Does:</w:t>
            </w:r>
          </w:p>
          <w:p w14:paraId="418DFBD5" w14:textId="77777777" w:rsidR="00A65EE6" w:rsidRPr="002201A9" w:rsidRDefault="00AF03CA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T: “Look at page </w:t>
            </w:r>
            <w:proofErr w:type="gramStart"/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84 .</w:t>
            </w:r>
            <w:proofErr w:type="gramEnd"/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A65EE6" w:rsidRPr="002201A9">
              <w:rPr>
                <w:rFonts w:asciiTheme="majorHAnsi" w:hAnsiTheme="majorHAnsi" w:cs="Arial"/>
                <w:b/>
                <w:sz w:val="20"/>
                <w:szCs w:val="20"/>
              </w:rPr>
              <w:t>Find number one and point to it”</w:t>
            </w:r>
          </w:p>
          <w:p w14:paraId="7F02EFB8" w14:textId="77777777" w:rsidR="00A65EE6" w:rsidRPr="002201A9" w:rsidRDefault="00A65EE6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S: Students will point to number 1</w:t>
            </w:r>
          </w:p>
          <w:p w14:paraId="2EB361C7" w14:textId="6DC5FF36" w:rsidR="00A65EE6" w:rsidRPr="002201A9" w:rsidRDefault="00A65EE6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T: “This is </w:t>
            </w:r>
            <w:r w:rsidR="00AF03CA" w:rsidRPr="002201A9">
              <w:rPr>
                <w:rFonts w:asciiTheme="majorHAnsi" w:hAnsiTheme="majorHAnsi" w:cs="Arial"/>
                <w:b/>
                <w:sz w:val="20"/>
                <w:szCs w:val="20"/>
              </w:rPr>
              <w:t>just like what you did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in partners</w:t>
            </w:r>
            <w:r w:rsidR="00AF03CA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and on your own yesterday</w:t>
            </w:r>
            <w:r w:rsidR="00141B73" w:rsidRPr="002201A9">
              <w:rPr>
                <w:rFonts w:asciiTheme="majorHAnsi" w:hAnsiTheme="majorHAnsi" w:cs="Arial"/>
                <w:b/>
                <w:sz w:val="20"/>
                <w:szCs w:val="20"/>
              </w:rPr>
              <w:t>. They have the addition sentence</w:t>
            </w:r>
            <w:r w:rsidR="00AF03CA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first, then the matching subtraction sentence. The addition says 4+ ____= 6. On the count of three, tell me what you have to add to 4 to get 6. 1,2,3!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”</w:t>
            </w:r>
          </w:p>
          <w:p w14:paraId="32BAD38E" w14:textId="77777777" w:rsidR="00A65EE6" w:rsidRPr="002201A9" w:rsidRDefault="00AF03CA" w:rsidP="00A65EE6">
            <w:pPr>
              <w:contextualSpacing/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S: will say 2</w:t>
            </w:r>
          </w:p>
          <w:p w14:paraId="4452B445" w14:textId="41EF9F33" w:rsidR="00AF03CA" w:rsidRPr="002201A9" w:rsidRDefault="00AF03CA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T: “Great, write in 2.  Read with me 4+2=6, so 6-4= ___? 2! </w:t>
            </w:r>
            <w:r w:rsidR="00970936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Say with me “If 4+2=6, then 6-4=2. 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Write it in. ”</w:t>
            </w:r>
          </w:p>
          <w:p w14:paraId="33DA920F" w14:textId="77777777" w:rsidR="00A65EE6" w:rsidRPr="002201A9" w:rsidRDefault="00A65EE6" w:rsidP="00A65E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2 Students Do with Teacher:</w:t>
            </w:r>
          </w:p>
          <w:p w14:paraId="63221EDE" w14:textId="77777777" w:rsidR="00A65EE6" w:rsidRPr="002201A9" w:rsidRDefault="00A65EE6" w:rsidP="00A65EE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T: “Let’s have 2 helpers</w:t>
            </w:r>
            <w:r w:rsidR="00AF03CA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come show us how to do number 2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, using their own counters.”</w:t>
            </w:r>
          </w:p>
          <w:p w14:paraId="2F070730" w14:textId="4932370E" w:rsidR="00A65EE6" w:rsidRPr="002201A9" w:rsidRDefault="00A65EE6" w:rsidP="00A65E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 xml:space="preserve">S: two students will come up and </w:t>
            </w:r>
            <w:r w:rsidR="00970936" w:rsidRPr="002201A9">
              <w:rPr>
                <w:rFonts w:asciiTheme="majorHAnsi" w:hAnsiTheme="majorHAnsi" w:cs="Arial"/>
                <w:sz w:val="20"/>
                <w:szCs w:val="20"/>
              </w:rPr>
              <w:t>lead the class in doing number 2</w:t>
            </w:r>
          </w:p>
          <w:p w14:paraId="3CD14015" w14:textId="77777777" w:rsidR="00A65EE6" w:rsidRPr="002201A9" w:rsidRDefault="00A65EE6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944157" w14:textId="77777777" w:rsidR="00A65EE6" w:rsidRPr="002201A9" w:rsidRDefault="00A65EE6" w:rsidP="00A65EE6">
            <w:pPr>
              <w:contextualSpacing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Independent Practice: </w:t>
            </w:r>
            <w:proofErr w:type="gramStart"/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( </w:t>
            </w:r>
            <w:r w:rsidR="00A82AB6" w:rsidRPr="002201A9">
              <w:rPr>
                <w:rFonts w:asciiTheme="majorHAnsi" w:hAnsiTheme="majorHAnsi" w:cs="Arial"/>
                <w:b/>
                <w:sz w:val="20"/>
                <w:szCs w:val="20"/>
              </w:rPr>
              <w:t>10</w:t>
            </w:r>
            <w:proofErr w:type="gramEnd"/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minutes)</w:t>
            </w:r>
          </w:p>
          <w:p w14:paraId="4C9B8D08" w14:textId="392776D5" w:rsidR="00A65EE6" w:rsidRPr="002201A9" w:rsidRDefault="00A65EE6" w:rsidP="00A65EE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T: “Now you have time to practice o</w:t>
            </w:r>
            <w:r w:rsidR="00AF03CA" w:rsidRPr="002201A9">
              <w:rPr>
                <w:rFonts w:asciiTheme="majorHAnsi" w:hAnsiTheme="majorHAnsi" w:cs="Arial"/>
                <w:b/>
                <w:sz w:val="20"/>
                <w:szCs w:val="20"/>
              </w:rPr>
              <w:t>n your own. Do through number 13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. If you finish early, draw pictures by each problem to match the math story.</w:t>
            </w:r>
            <w:r w:rsidR="00970936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When I clap my hands, clean up you</w:t>
            </w:r>
            <w:r w:rsidR="0023442C" w:rsidRPr="002201A9">
              <w:rPr>
                <w:rFonts w:asciiTheme="majorHAnsi" w:hAnsiTheme="majorHAnsi" w:cs="Arial"/>
                <w:b/>
                <w:sz w:val="20"/>
                <w:szCs w:val="20"/>
              </w:rPr>
              <w:t>r</w:t>
            </w:r>
            <w:r w:rsidR="00970936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counters and meet me at the rug.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”</w:t>
            </w:r>
          </w:p>
          <w:p w14:paraId="067E515D" w14:textId="77777777" w:rsidR="00A65EE6" w:rsidRPr="002201A9" w:rsidRDefault="00A65EE6" w:rsidP="00A65E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S: will work independently</w:t>
            </w:r>
          </w:p>
          <w:p w14:paraId="37040E04" w14:textId="784639E1" w:rsidR="00A65EE6" w:rsidRPr="002201A9" w:rsidRDefault="00A65EE6" w:rsidP="002201A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 xml:space="preserve">Walk around the room watching how students are </w:t>
            </w:r>
            <w:r w:rsidR="0023442C" w:rsidRPr="002201A9">
              <w:rPr>
                <w:rFonts w:asciiTheme="majorHAnsi" w:hAnsiTheme="majorHAnsi" w:cs="Arial"/>
                <w:sz w:val="20"/>
                <w:szCs w:val="20"/>
              </w:rPr>
              <w:t>doing</w:t>
            </w:r>
            <w:r w:rsidRPr="002201A9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</w:p>
          <w:p w14:paraId="319A6FE5" w14:textId="77777777" w:rsidR="00A65EE6" w:rsidRPr="002201A9" w:rsidRDefault="00A65EE6" w:rsidP="00A65EE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CC35FC3" w14:textId="77777777" w:rsidR="00A65EE6" w:rsidRPr="002201A9" w:rsidRDefault="00A65EE6" w:rsidP="00A65EE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Closing: (</w:t>
            </w:r>
            <w:proofErr w:type="gramStart"/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5  minutes</w:t>
            </w:r>
            <w:proofErr w:type="gramEnd"/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  <w:p w14:paraId="0075DE18" w14:textId="7C9AF970" w:rsidR="00970936" w:rsidRPr="002201A9" w:rsidRDefault="00970936" w:rsidP="00A65EE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>Clap hands for children to come over to the rug.</w:t>
            </w:r>
          </w:p>
          <w:p w14:paraId="3E3D7ED4" w14:textId="77777777" w:rsidR="00A65EE6" w:rsidRPr="002201A9" w:rsidRDefault="00A82AB6" w:rsidP="00A65E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T: </w:t>
            </w:r>
            <w:r w:rsidR="00530CE8" w:rsidRPr="002201A9">
              <w:rPr>
                <w:rFonts w:asciiTheme="majorHAnsi" w:hAnsiTheme="majorHAnsi" w:cs="Arial"/>
                <w:b/>
                <w:sz w:val="20"/>
                <w:szCs w:val="20"/>
              </w:rPr>
              <w:t>“</w:t>
            </w:r>
            <w:r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Great job today! </w:t>
            </w:r>
            <w:r w:rsidR="00530CE8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Now we’re going to play a little game. I’m </w:t>
            </w:r>
            <w:proofErr w:type="gramStart"/>
            <w:r w:rsidR="00530CE8" w:rsidRPr="002201A9">
              <w:rPr>
                <w:rFonts w:asciiTheme="majorHAnsi" w:hAnsiTheme="majorHAnsi" w:cs="Arial"/>
                <w:b/>
                <w:sz w:val="20"/>
                <w:szCs w:val="20"/>
              </w:rPr>
              <w:t>going  turn</w:t>
            </w:r>
            <w:proofErr w:type="gramEnd"/>
            <w:r w:rsidR="00530CE8" w:rsidRPr="002201A9">
              <w:rPr>
                <w:rFonts w:asciiTheme="majorHAnsi" w:hAnsiTheme="majorHAnsi" w:cs="Arial"/>
                <w:b/>
                <w:sz w:val="20"/>
                <w:szCs w:val="20"/>
              </w:rPr>
              <w:t xml:space="preserve"> around and  say an addition sentence, and part of it’s matching subtraction sentence. When I turn back around to face you, tell me as fast as you can the answer. Ready?” Turn around </w:t>
            </w:r>
            <w:r w:rsidR="00530CE8" w:rsidRPr="002201A9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and say something like “I know 3+4=7, so 7-4=____?”</w:t>
            </w:r>
            <w:r w:rsidR="00530CE8" w:rsidRPr="002201A9">
              <w:rPr>
                <w:rFonts w:asciiTheme="majorHAnsi" w:hAnsiTheme="majorHAnsi" w:cs="Arial"/>
                <w:sz w:val="20"/>
                <w:szCs w:val="20"/>
              </w:rPr>
              <w:t xml:space="preserve"> Wait a few seconds, </w:t>
            </w:r>
            <w:proofErr w:type="gramStart"/>
            <w:r w:rsidR="00530CE8" w:rsidRPr="002201A9">
              <w:rPr>
                <w:rFonts w:asciiTheme="majorHAnsi" w:hAnsiTheme="majorHAnsi" w:cs="Arial"/>
                <w:sz w:val="20"/>
                <w:szCs w:val="20"/>
              </w:rPr>
              <w:t>then</w:t>
            </w:r>
            <w:proofErr w:type="gramEnd"/>
            <w:r w:rsidR="00530CE8" w:rsidRPr="002201A9">
              <w:rPr>
                <w:rFonts w:asciiTheme="majorHAnsi" w:hAnsiTheme="majorHAnsi" w:cs="Arial"/>
                <w:sz w:val="20"/>
                <w:szCs w:val="20"/>
              </w:rPr>
              <w:t xml:space="preserve"> turn back around.</w:t>
            </w:r>
            <w:r w:rsidR="00530CE8" w:rsidRPr="002201A9">
              <w:rPr>
                <w:rFonts w:asciiTheme="majorHAnsi" w:hAnsiTheme="majorHAnsi" w:cs="Arial"/>
                <w:sz w:val="20"/>
                <w:szCs w:val="20"/>
              </w:rPr>
              <w:br/>
              <w:t>S: will say answers out loud.</w:t>
            </w:r>
          </w:p>
          <w:p w14:paraId="602CBA61" w14:textId="6060351F" w:rsidR="00A65EE6" w:rsidRPr="002201A9" w:rsidRDefault="00970936" w:rsidP="002201A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 w:cs="Arial"/>
                <w:sz w:val="20"/>
                <w:szCs w:val="20"/>
              </w:rPr>
              <w:t>Repeat a few times.</w:t>
            </w:r>
          </w:p>
        </w:tc>
      </w:tr>
      <w:tr w:rsidR="00A65EE6" w:rsidRPr="002201A9" w14:paraId="44B01677" w14:textId="77777777" w:rsidTr="00031E04">
        <w:tc>
          <w:tcPr>
            <w:tcW w:w="10998" w:type="dxa"/>
            <w:gridSpan w:val="5"/>
            <w:shd w:val="clear" w:color="auto" w:fill="C0504D" w:themeFill="accent2"/>
          </w:tcPr>
          <w:p w14:paraId="61B3AAE6" w14:textId="632B136E" w:rsidR="00A65EE6" w:rsidRPr="002201A9" w:rsidRDefault="00A65EE6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201A9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Assessment:</w:t>
            </w:r>
          </w:p>
        </w:tc>
      </w:tr>
      <w:tr w:rsidR="00031E04" w:rsidRPr="002201A9" w14:paraId="6D3F6623" w14:textId="77777777" w:rsidTr="00031E04">
        <w:tc>
          <w:tcPr>
            <w:tcW w:w="10998" w:type="dxa"/>
            <w:gridSpan w:val="5"/>
            <w:shd w:val="clear" w:color="auto" w:fill="auto"/>
          </w:tcPr>
          <w:p w14:paraId="7DC0EC8A" w14:textId="65F73DAF" w:rsidR="00031E04" w:rsidRPr="002201A9" w:rsidRDefault="00031E04" w:rsidP="00A65EE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Page 86</w:t>
            </w:r>
          </w:p>
        </w:tc>
      </w:tr>
    </w:tbl>
    <w:p w14:paraId="325AB610" w14:textId="77777777" w:rsidR="00E97EF8" w:rsidRPr="002201A9" w:rsidRDefault="00E97EF8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E97EF8" w:rsidRPr="002201A9" w:rsidSect="00A65EE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7A00"/>
    <w:multiLevelType w:val="hybridMultilevel"/>
    <w:tmpl w:val="6A721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7F46F1"/>
    <w:multiLevelType w:val="hybridMultilevel"/>
    <w:tmpl w:val="91CAA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E6"/>
    <w:rsid w:val="00031E04"/>
    <w:rsid w:val="00141B73"/>
    <w:rsid w:val="002201A9"/>
    <w:rsid w:val="0023442C"/>
    <w:rsid w:val="003B6695"/>
    <w:rsid w:val="00530CE8"/>
    <w:rsid w:val="00970936"/>
    <w:rsid w:val="00A65EE6"/>
    <w:rsid w:val="00A82AB6"/>
    <w:rsid w:val="00AF03CA"/>
    <w:rsid w:val="00CF123D"/>
    <w:rsid w:val="00E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C3C5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E6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E6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E6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E6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508</Words>
  <Characters>2901</Characters>
  <Application>Microsoft Macintosh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Bagley</dc:creator>
  <cp:keywords/>
  <dc:description/>
  <cp:lastModifiedBy>Tessa Dahl</cp:lastModifiedBy>
  <cp:revision>8</cp:revision>
  <dcterms:created xsi:type="dcterms:W3CDTF">2012-05-02T03:52:00Z</dcterms:created>
  <dcterms:modified xsi:type="dcterms:W3CDTF">2012-08-07T02:19:00Z</dcterms:modified>
</cp:coreProperties>
</file>